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Приложение N 3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к приказу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РСТ Забайкальского края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от 19 декабря 2014 г. N 714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ТАРИФЫ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НА СОЦИАЛЬНЫЕ УСЛУГИ, ПРЕДОСТАВЛЯЕМЫЕ ГРАЖДАНАМ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 xml:space="preserve">ГОСУДАРСТВЕННЫМИ ОРГАНИЗАЦИЯМИ </w:t>
      </w:r>
      <w:proofErr w:type="gramStart"/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СОЦИАЛЬНОГО</w:t>
      </w:r>
      <w:proofErr w:type="gramEnd"/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23C8A">
        <w:rPr>
          <w:rFonts w:ascii="Georgia" w:eastAsia="Times New Roman" w:hAnsi="Georgia" w:cs="Times New Roman"/>
          <w:color w:val="333333"/>
          <w:sz w:val="24"/>
          <w:szCs w:val="24"/>
        </w:rPr>
        <w:t>ОБСЛУЖИВАНИЯ В ФОРМЕ СОЦИАЛЬНОГО ОБСЛУЖИВАНИЯ НА ДОМУ</w:t>
      </w:r>
    </w:p>
    <w:p w:rsidR="00C23C8A" w:rsidRPr="00C23C8A" w:rsidRDefault="00C23C8A" w:rsidP="00C23C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5145"/>
        <w:gridCol w:w="1725"/>
        <w:gridCol w:w="1740"/>
      </w:tblGrid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  <w:p w:rsidR="00C23C8A" w:rsidRPr="00C23C8A" w:rsidRDefault="00C23C8A" w:rsidP="00C23C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ГУСО НКЦСОН "Гарант" Забайкальского края,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Помощь в приготовлении пищи,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приготовление из продуктов питания получателя социальных услуг 1 блюда на выбор из полуфабрикатов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блюдо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посуды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(не более 10 предметов)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ведро (10 литров)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топка печи, доставка из хозяйственных построек, принадлежащих получателю социальных услуг, угля, дров, вынос золы, с соблюдением норм допустимой нагрузки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(7 кг/10 литров)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2.4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(не более 4 кг)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Уборка жилых помещений, включая вынос бытового мусора,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уборка комнаты, а также коридора, кухни, санузла, мытье полов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вытирание пыли с открытых поверхностей мебели, подоконника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0,4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чистка напольных покрытий пылесосом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0,4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подметание веником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0,6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4.5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окон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4.6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дверей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4.7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удаление пыли со стен, потолка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4.8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газовой (электрической) плиты, раковины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4.9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зеркал, стекол мебели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4.10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вынос бытового мусора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 4 кг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(не более 4 кг)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сопровождение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53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(до 7 кг)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покупка и доставка на дом промышленных товаров первой необходимости, средств санитарии и гигиены, средств ухода за счет средств получателя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(не более 4 кг)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покупка и доставка книг, газет и журналов за счет средств получателя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7.4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приобретение за счет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</w:t>
            </w: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доставка их на дом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уход, в т.ч.: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231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гигиена до и после приема пищи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процедура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помощь в одевании и раздевании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процедура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комплект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смена нательного белья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комплект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8.5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смена абсорбирующего белья, </w:t>
            </w:r>
            <w:proofErr w:type="spell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памперсов</w:t>
            </w:r>
            <w:proofErr w:type="spell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комплект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8.6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стрижка ногтей на руках и ногах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процедура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8.7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помощь в принятии гигиенического душа, ванны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63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8.8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бритье лица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36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8.9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уход за зубами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8.10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причесывание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8.11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стрижка волос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34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Отправка за счет средств получателя социальных услуг почтовой корреспонденции,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написание писем под диктовку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документ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прочтение писем, телеграмм вслух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документ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документ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11.1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квитанция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11.2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снятие показаний </w:t>
            </w:r>
            <w:proofErr w:type="spell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электр</w:t>
            </w: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(1 счетчик)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11.3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оплата по счетам за счет средств получателей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72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Психологическая помощь и поддержка (включая экстренную), в том числе гражданам, осуществляющим уход на дому за </w:t>
            </w: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тяжелобольными получателями социальных услуг</w:t>
            </w:r>
            <w:proofErr w:type="gramEnd"/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 услуга (30 минут)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бесплатно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C23C8A" w:rsidRPr="00C23C8A" w:rsidTr="00C23C8A">
        <w:trPr>
          <w:tblCellSpacing w:w="15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1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3C8A" w:rsidRPr="00C23C8A" w:rsidRDefault="00C23C8A" w:rsidP="00C23C8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23C8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бесплатно</w:t>
            </w:r>
          </w:p>
        </w:tc>
      </w:tr>
    </w:tbl>
    <w:p w:rsidR="00D003CE" w:rsidRDefault="00D003CE"/>
    <w:sectPr w:rsidR="00D003CE" w:rsidSect="00C23C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C8A"/>
    <w:rsid w:val="00C23C8A"/>
    <w:rsid w:val="00D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2018-11-12T00:41:00Z</dcterms:created>
  <dcterms:modified xsi:type="dcterms:W3CDTF">2018-11-12T00:42:00Z</dcterms:modified>
</cp:coreProperties>
</file>